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AC6A9" w14:textId="29D11ED9" w:rsidR="00B856D3" w:rsidRPr="00FE4D4A" w:rsidRDefault="00B856D3" w:rsidP="000D3AB1">
      <w:pPr>
        <w:jc w:val="center"/>
        <w:rPr>
          <w:rFonts w:ascii="Atkinson Hyperlegible" w:hAnsi="Atkinson Hyperlegible"/>
          <w:b/>
          <w:color w:val="000000" w:themeColor="text1"/>
          <w:sz w:val="24"/>
          <w:szCs w:val="24"/>
        </w:rPr>
      </w:pPr>
      <w:bookmarkStart w:id="0" w:name="_GoBack"/>
      <w:r w:rsidRPr="00FE4D4A">
        <w:rPr>
          <w:rFonts w:ascii="Atkinson Hyperlegible" w:hAnsi="Atkinson Hyperlegible"/>
          <w:b/>
          <w:color w:val="000000" w:themeColor="text1"/>
          <w:sz w:val="24"/>
          <w:szCs w:val="24"/>
        </w:rPr>
        <w:t>IL RESTAURO DEI 19 “KAKEMONO” DEL CASTELLO DI AGLIE’</w:t>
      </w:r>
    </w:p>
    <w:p w14:paraId="29B9AC67" w14:textId="3537783C" w:rsidR="000D3AB1" w:rsidRPr="00FE4D4A" w:rsidRDefault="000D3AB1" w:rsidP="000D3AB1">
      <w:pPr>
        <w:jc w:val="center"/>
        <w:rPr>
          <w:rFonts w:ascii="Atkinson Hyperlegible" w:hAnsi="Atkinson Hyperlegible"/>
          <w:b/>
          <w:color w:val="000000" w:themeColor="text1"/>
          <w:sz w:val="24"/>
          <w:szCs w:val="24"/>
        </w:rPr>
      </w:pPr>
      <w:r w:rsidRPr="00FE4D4A">
        <w:rPr>
          <w:rFonts w:ascii="Atkinson Hyperlegible" w:hAnsi="Atkinson Hyperlegible"/>
          <w:b/>
          <w:color w:val="000000" w:themeColor="text1"/>
          <w:sz w:val="24"/>
          <w:szCs w:val="24"/>
        </w:rPr>
        <w:t>A CURA DEL CENTRO CONSERVAZIONE RESTAURO “LA VENARIA REALE”</w:t>
      </w:r>
    </w:p>
    <w:p w14:paraId="1F64ADB5" w14:textId="27921234" w:rsidR="000D3AB1" w:rsidRPr="00FE4D4A" w:rsidRDefault="000D3AB1" w:rsidP="000D4D20">
      <w:pPr>
        <w:spacing w:after="120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Il restauro dei diciassette dipinti giapponesi su carta e dei due kakemono dipinti su seta conservati nel Castello di Agliè è stato complesso e articolato e ha richiesto un lavoro multidisciplinare tra il Laboratorio di Restauro Carta e Fotografia, il Laboratorio di Restauro Manufatti Tessili e i Laboratori Scientifici della Fondazione Centro Conservazione Restauro “La Venaria Reale” (CCR). </w:t>
      </w:r>
    </w:p>
    <w:p w14:paraId="726880D2" w14:textId="3336C695" w:rsidR="001C6B05" w:rsidRPr="00FE4D4A" w:rsidRDefault="000D3AB1" w:rsidP="000D4D20">
      <w:pPr>
        <w:spacing w:after="120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hAnsi="Atkinson Hyperlegible"/>
          <w:color w:val="000000" w:themeColor="text1"/>
          <w:sz w:val="21"/>
          <w:szCs w:val="21"/>
        </w:rPr>
        <w:t xml:space="preserve">Si </w:t>
      </w: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è partiti da un primo censimento conservativo dell’intera collezione, dapprima </w:t>
      </w:r>
      <w:r w:rsidRPr="00FE4D4A">
        <w:rPr>
          <w:rFonts w:ascii="Atkinson Hyperlegible" w:eastAsia="Atkinson Hyperlegible" w:hAnsi="Atkinson Hyperlegible" w:cs="Atkinson Hyperlegible"/>
          <w:i/>
          <w:color w:val="000000" w:themeColor="text1"/>
        </w:rPr>
        <w:t>in situ</w:t>
      </w: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 e successivamente presso i laboratori del CCR. Tramite un’analisi approfondita, supportata da indagini diagnostiche non invasive e micro-invasive, </w:t>
      </w:r>
      <w:r w:rsidRPr="00FE4D4A">
        <w:rPr>
          <w:rFonts w:ascii="Atkinson Hyperlegible" w:hAnsi="Atkinson Hyperlegible" w:cs="Arial"/>
          <w:color w:val="000000" w:themeColor="text1"/>
          <w:shd w:val="clear" w:color="auto" w:fill="FFFFFF"/>
        </w:rPr>
        <w:t xml:space="preserve">è stato possibile individuare e approfondire la conoscenza dei materiali </w:t>
      </w:r>
      <w:r w:rsidR="007519B6" w:rsidRPr="00FE4D4A">
        <w:rPr>
          <w:rFonts w:ascii="Atkinson Hyperlegible" w:hAnsi="Atkinson Hyperlegible" w:cs="Arial"/>
          <w:color w:val="000000" w:themeColor="text1"/>
          <w:shd w:val="clear" w:color="auto" w:fill="FFFFFF"/>
        </w:rPr>
        <w:t>utilizzati</w:t>
      </w:r>
      <w:r w:rsidRPr="00FE4D4A">
        <w:rPr>
          <w:rFonts w:ascii="Atkinson Hyperlegible" w:hAnsi="Atkinson Hyperlegible" w:cs="Arial"/>
          <w:color w:val="000000" w:themeColor="text1"/>
          <w:shd w:val="clear" w:color="auto" w:fill="FFFFFF"/>
        </w:rPr>
        <w:t xml:space="preserve"> e le principali cause di degrado </w:t>
      </w: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dei singoli manufatti. Dalle misurazioni, dalle osservazioni, dall’analisi dell’impasto fibroso dei supporti cartacei, dall’analisi stilistica e dalla identificazione dei pigmenti e inchiostri impiegati si è confermata l’origine orientale dei dipinti. </w:t>
      </w:r>
    </w:p>
    <w:p w14:paraId="251CD143" w14:textId="24FECF34" w:rsidR="001C6B05" w:rsidRPr="00FE4D4A" w:rsidRDefault="000D3AB1" w:rsidP="000D4D20">
      <w:pPr>
        <w:spacing w:after="120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Le analisi delle bordure in carta da parati e la tipologia di adesivo impiegato per l’ancoraggio sui supporti cartacei hanno invece confermato le ipotesi iniziali che i montaggi fossero stati eseguiti secondo precise scelte collezionistiche </w:t>
      </w:r>
      <w:r w:rsidR="001C6B05" w:rsidRPr="00FE4D4A">
        <w:rPr>
          <w:rFonts w:ascii="Atkinson Hyperlegible" w:eastAsia="Atkinson Hyperlegible" w:hAnsi="Atkinson Hyperlegible" w:cs="Atkinson Hyperlegible"/>
          <w:color w:val="000000" w:themeColor="text1"/>
        </w:rPr>
        <w:t>e</w:t>
      </w: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 </w:t>
      </w:r>
      <w:proofErr w:type="spellStart"/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allestitive</w:t>
      </w:r>
      <w:proofErr w:type="spellEnd"/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 dai duchi di Genova.</w:t>
      </w:r>
    </w:p>
    <w:p w14:paraId="2256D0E1" w14:textId="33FFEC7A" w:rsidR="00B856D3" w:rsidRPr="00FE4D4A" w:rsidRDefault="00924F39" w:rsidP="000D4D20">
      <w:pPr>
        <w:spacing w:after="120"/>
        <w:jc w:val="both"/>
        <w:rPr>
          <w:rFonts w:ascii="Atkinson Hyperlegible" w:hAnsi="Atkinson Hyperlegible"/>
          <w:color w:val="000000" w:themeColor="text1"/>
          <w:sz w:val="21"/>
          <w:szCs w:val="21"/>
        </w:rPr>
      </w:pPr>
      <w:r w:rsidRPr="00FE4D4A">
        <w:rPr>
          <w:rFonts w:ascii="Atkinson Hyperlegible" w:hAnsi="Atkinson Hyperlegible"/>
          <w:color w:val="000000" w:themeColor="text1"/>
          <w:sz w:val="21"/>
          <w:szCs w:val="21"/>
        </w:rPr>
        <w:t>I dipinti</w:t>
      </w:r>
      <w:r w:rsidR="00B856D3" w:rsidRPr="00FE4D4A">
        <w:rPr>
          <w:rFonts w:ascii="Atkinson Hyperlegible" w:hAnsi="Atkinson Hyperlegible"/>
          <w:color w:val="000000" w:themeColor="text1"/>
          <w:sz w:val="21"/>
          <w:szCs w:val="21"/>
        </w:rPr>
        <w:t xml:space="preserve"> presentavano </w:t>
      </w:r>
      <w:r w:rsidR="001C6B05" w:rsidRPr="00FE4D4A">
        <w:rPr>
          <w:rFonts w:ascii="Atkinson Hyperlegible" w:hAnsi="Atkinson Hyperlegible"/>
          <w:color w:val="000000" w:themeColor="text1"/>
          <w:sz w:val="21"/>
          <w:szCs w:val="21"/>
        </w:rPr>
        <w:t>macchie</w:t>
      </w:r>
      <w:r w:rsidR="00B856D3" w:rsidRPr="00FE4D4A">
        <w:rPr>
          <w:rFonts w:ascii="Atkinson Hyperlegible" w:hAnsi="Atkinson Hyperlegible"/>
          <w:color w:val="000000" w:themeColor="text1"/>
          <w:sz w:val="21"/>
          <w:szCs w:val="21"/>
        </w:rPr>
        <w:t>, deformazioni, pieghe, lacune, strappi e sollevamenti diffusi. La carta mostrava, inoltre, stati di invecchiamento, indebolimento e imbrunimento tali da inficiare la percezione complessiva delle immagini.</w:t>
      </w:r>
    </w:p>
    <w:p w14:paraId="44E94354" w14:textId="28ED2FD2" w:rsidR="000D4D20" w:rsidRPr="00FE4D4A" w:rsidRDefault="000D4D20" w:rsidP="000D4D20">
      <w:pPr>
        <w:spacing w:after="120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A seguito dello smontaggio, rimozione e disinfezione anossica dei bastoni in legno, le diciassette opere su carta sono state tutte accuratamente depolverate a secco operando tramite micro aspiratore, spugnette poliuretaniche ad alta densità e pennel</w:t>
      </w:r>
      <w:r w:rsidR="007519B6" w:rsidRPr="00FE4D4A">
        <w:rPr>
          <w:rFonts w:ascii="Atkinson Hyperlegible" w:eastAsia="Atkinson Hyperlegible" w:hAnsi="Atkinson Hyperlegible" w:cs="Atkinson Hyperlegible"/>
          <w:color w:val="000000" w:themeColor="text1"/>
        </w:rPr>
        <w:t>li</w:t>
      </w: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 a setola morbida. </w:t>
      </w:r>
    </w:p>
    <w:p w14:paraId="2A192D7D" w14:textId="5E5FC885" w:rsidR="000D4D20" w:rsidRPr="00FE4D4A" w:rsidRDefault="000D4D20" w:rsidP="000D4D20">
      <w:pPr>
        <w:spacing w:after="120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Per scelta metodologica, volendo perseguire un approccio conservativo con un’interazione minimale nei confronti dei differenti strati di materiale originale, si è deciso di procedere alle successive fasi di intervento senza eseguire lo smontaggio né della foderatura in tela né della bordura in carta da parati.</w:t>
      </w:r>
    </w:p>
    <w:p w14:paraId="77981A3B" w14:textId="2E504D74" w:rsidR="00B856D3" w:rsidRPr="00FE4D4A" w:rsidRDefault="00B856D3" w:rsidP="000D4D20">
      <w:pPr>
        <w:spacing w:after="120"/>
        <w:jc w:val="both"/>
        <w:rPr>
          <w:rFonts w:ascii="Atkinson Hyperlegible" w:hAnsi="Atkinson Hyperlegible"/>
          <w:color w:val="000000" w:themeColor="text1"/>
          <w:sz w:val="21"/>
          <w:szCs w:val="21"/>
        </w:rPr>
      </w:pPr>
      <w:r w:rsidRPr="00FE4D4A">
        <w:rPr>
          <w:rFonts w:ascii="Atkinson Hyperlegible" w:hAnsi="Atkinson Hyperlegible"/>
          <w:color w:val="000000" w:themeColor="text1"/>
          <w:sz w:val="21"/>
          <w:szCs w:val="21"/>
        </w:rPr>
        <w:t>Gli interventi hanno riguardato una complessa operazione di lavaggio, seguita da consolidamenti e integrazioni effettuate con cart</w:t>
      </w:r>
      <w:r w:rsidR="00995621" w:rsidRPr="00FE4D4A">
        <w:rPr>
          <w:rFonts w:ascii="Atkinson Hyperlegible" w:hAnsi="Atkinson Hyperlegible"/>
          <w:color w:val="000000" w:themeColor="text1"/>
          <w:sz w:val="21"/>
          <w:szCs w:val="21"/>
        </w:rPr>
        <w:t xml:space="preserve">e giapponesi compatibili con quelle </w:t>
      </w:r>
      <w:r w:rsidRPr="00FE4D4A">
        <w:rPr>
          <w:rFonts w:ascii="Atkinson Hyperlegible" w:hAnsi="Atkinson Hyperlegible"/>
          <w:color w:val="000000" w:themeColor="text1"/>
          <w:sz w:val="21"/>
          <w:szCs w:val="21"/>
        </w:rPr>
        <w:t>originali</w:t>
      </w:r>
      <w:r w:rsidR="007519B6" w:rsidRPr="00FE4D4A">
        <w:rPr>
          <w:rFonts w:ascii="Atkinson Hyperlegible" w:hAnsi="Atkinson Hyperlegible"/>
          <w:color w:val="000000" w:themeColor="text1"/>
          <w:sz w:val="21"/>
          <w:szCs w:val="21"/>
        </w:rPr>
        <w:t>,</w:t>
      </w:r>
      <w:r w:rsidRPr="00FE4D4A">
        <w:rPr>
          <w:rFonts w:ascii="Atkinson Hyperlegible" w:hAnsi="Atkinson Hyperlegible"/>
          <w:color w:val="000000" w:themeColor="text1"/>
          <w:sz w:val="21"/>
          <w:szCs w:val="21"/>
        </w:rPr>
        <w:t xml:space="preserve"> mantenendo il montaggio storico. La restituzione estetica è stata eseguita con colori ad acquarello e polveri di pigmento puro.</w:t>
      </w:r>
    </w:p>
    <w:p w14:paraId="2133491D" w14:textId="77777777" w:rsidR="00B856D3" w:rsidRPr="00FE4D4A" w:rsidRDefault="00B856D3" w:rsidP="000D4D20">
      <w:pPr>
        <w:spacing w:after="120"/>
        <w:jc w:val="both"/>
        <w:rPr>
          <w:rFonts w:ascii="Atkinson Hyperlegible" w:eastAsia="Times New Roman" w:hAnsi="Atkinson Hyperlegible" w:cs="Times New Roman"/>
          <w:color w:val="000000" w:themeColor="text1"/>
          <w:sz w:val="21"/>
          <w:szCs w:val="21"/>
        </w:rPr>
      </w:pPr>
      <w:r w:rsidRPr="00FE4D4A">
        <w:rPr>
          <w:rFonts w:ascii="Atkinson Hyperlegible" w:eastAsia="Times New Roman" w:hAnsi="Atkinson Hyperlegible" w:cs="Arial"/>
          <w:color w:val="000000" w:themeColor="text1"/>
          <w:sz w:val="21"/>
          <w:szCs w:val="21"/>
          <w:shd w:val="clear" w:color="auto" w:fill="FFFFFF"/>
        </w:rPr>
        <w:t xml:space="preserve">Per quanto riguarda i due kakemono in tessuto, particolare attenzione è stata dedicata allo studio delle tecniche esecutive, in considerazione della presenza di due </w:t>
      </w:r>
      <w:proofErr w:type="spellStart"/>
      <w:r w:rsidRPr="00FE4D4A">
        <w:rPr>
          <w:rFonts w:ascii="Atkinson Hyperlegible" w:eastAsia="Times New Roman" w:hAnsi="Atkinson Hyperlegible" w:cs="Arial"/>
          <w:iCs/>
          <w:color w:val="000000" w:themeColor="text1"/>
          <w:sz w:val="21"/>
          <w:szCs w:val="21"/>
          <w:shd w:val="clear" w:color="auto" w:fill="FFFFFF"/>
        </w:rPr>
        <w:t>kinran</w:t>
      </w:r>
      <w:proofErr w:type="spellEnd"/>
      <w:r w:rsidRPr="00FE4D4A">
        <w:rPr>
          <w:rFonts w:ascii="Atkinson Hyperlegible" w:eastAsia="Times New Roman" w:hAnsi="Atkinson Hyperlegible" w:cs="Arial"/>
          <w:i/>
          <w:iCs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FE4D4A">
        <w:rPr>
          <w:rFonts w:ascii="Atkinson Hyperlegible" w:eastAsia="Times New Roman" w:hAnsi="Atkinson Hyperlegible" w:cs="Arial"/>
          <w:iCs/>
          <w:color w:val="000000" w:themeColor="text1"/>
          <w:sz w:val="21"/>
          <w:szCs w:val="21"/>
          <w:shd w:val="clear" w:color="auto" w:fill="FFFFFF"/>
        </w:rPr>
        <w:t xml:space="preserve">- </w:t>
      </w:r>
      <w:r w:rsidRPr="00FE4D4A">
        <w:rPr>
          <w:rFonts w:ascii="Atkinson Hyperlegible" w:eastAsia="Times New Roman" w:hAnsi="Atkinson Hyperlegible" w:cs="Arial"/>
          <w:color w:val="000000" w:themeColor="text1"/>
          <w:sz w:val="21"/>
          <w:szCs w:val="21"/>
          <w:shd w:val="clear" w:color="auto" w:fill="FFFFFF"/>
        </w:rPr>
        <w:t>una tipologia di tessuto orientale operato</w:t>
      </w:r>
      <w:r w:rsidRPr="00FE4D4A">
        <w:rPr>
          <w:rFonts w:ascii="Atkinson Hyperlegible" w:eastAsia="Times New Roman" w:hAnsi="Atkinson Hyperlegible" w:cs="Arial"/>
          <w:i/>
          <w:iCs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FE4D4A">
        <w:rPr>
          <w:rFonts w:ascii="Atkinson Hyperlegible" w:eastAsia="Times New Roman" w:hAnsi="Atkinson Hyperlegible" w:cs="Arial"/>
          <w:color w:val="000000" w:themeColor="text1"/>
          <w:sz w:val="21"/>
          <w:szCs w:val="21"/>
          <w:shd w:val="clear" w:color="auto" w:fill="FFFFFF"/>
        </w:rPr>
        <w:t xml:space="preserve">caratterizzata da sottili trame cartacee dorate. Dopo le fasi di pulitura, il consolidamento tessile si è basato sulla stabilizzazione strutturale dei degradi, quali lacerazioni e lacune, mediante inserti locali di tessuti appositamente tinti in armonia con le </w:t>
      </w:r>
      <w:r w:rsidRPr="00FE4D4A">
        <w:rPr>
          <w:rFonts w:ascii="Atkinson Hyperlegible" w:eastAsia="Times New Roman" w:hAnsi="Atkinson Hyperlegible" w:cs="Arial"/>
          <w:i/>
          <w:color w:val="000000" w:themeColor="text1"/>
          <w:sz w:val="21"/>
          <w:szCs w:val="21"/>
          <w:shd w:val="clear" w:color="auto" w:fill="FFFFFF"/>
        </w:rPr>
        <w:t>nuances</w:t>
      </w:r>
      <w:r w:rsidRPr="00FE4D4A">
        <w:rPr>
          <w:rFonts w:ascii="Atkinson Hyperlegible" w:eastAsia="Times New Roman" w:hAnsi="Atkinson Hyperlegible" w:cs="Arial"/>
          <w:color w:val="000000" w:themeColor="text1"/>
          <w:sz w:val="21"/>
          <w:szCs w:val="21"/>
          <w:shd w:val="clear" w:color="auto" w:fill="FFFFFF"/>
        </w:rPr>
        <w:t xml:space="preserve"> esistenti. </w:t>
      </w:r>
    </w:p>
    <w:p w14:paraId="4788A4CB" w14:textId="1B9C6CDC" w:rsidR="00E74BAE" w:rsidRPr="00FE4D4A" w:rsidRDefault="000D4D20" w:rsidP="000D4D20">
      <w:pPr>
        <w:spacing w:after="12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In conclusione, l’intervento conservativo ha permesso la messa a punto di strategie calibrate in base alla tipologia e all’estensione dei degradi presenti, finalizzate al puntuale trattamento delle principali problematiche conservative e al recupero della stabilità strutturale dei materiali in opera, a protezione della collezione, oggi restituita al pubblico come un insieme unitario valorizzato nei propri e peculiari valori storici, formali e decorativi.</w:t>
      </w:r>
    </w:p>
    <w:p w14:paraId="636D3710" w14:textId="7D09841F" w:rsidR="00E051D6" w:rsidRPr="00FE4D4A" w:rsidRDefault="00E051D6" w:rsidP="00E051D6">
      <w:pPr>
        <w:spacing w:after="120" w:line="240" w:lineRule="auto"/>
        <w:ind w:right="-143"/>
        <w:rPr>
          <w:rFonts w:ascii="Atkinson Hyperlegible" w:eastAsia="Atkinson Hyperlegible" w:hAnsi="Atkinson Hyperlegible" w:cs="Atkinson Hyperlegible"/>
          <w:b/>
          <w:bCs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b/>
          <w:bCs/>
          <w:color w:val="000000" w:themeColor="text1"/>
        </w:rPr>
        <w:t>CCR CENTRO CONSERVAZIONE RESTAURO “LA VENARIA REALE”</w:t>
      </w:r>
      <w:r w:rsidRPr="00FE4D4A">
        <w:rPr>
          <w:rFonts w:ascii="Atkinson Hyperlegible" w:eastAsia="Atkinson Hyperlegible" w:hAnsi="Atkinson Hyperlegible" w:cs="Atkinson Hyperlegible"/>
          <w:b/>
          <w:bCs/>
          <w:color w:val="000000" w:themeColor="text1"/>
        </w:rPr>
        <w:br/>
        <w:t>NEI 20 ANNI</w:t>
      </w:r>
      <w:r w:rsidR="00830423" w:rsidRPr="00FE4D4A">
        <w:rPr>
          <w:rFonts w:ascii="Atkinson Hyperlegible" w:eastAsia="Atkinson Hyperlegible" w:hAnsi="Atkinson Hyperlegible" w:cs="Atkinson Hyperlegible"/>
          <w:b/>
          <w:bCs/>
          <w:color w:val="000000" w:themeColor="text1"/>
        </w:rPr>
        <w:t xml:space="preserve"> </w:t>
      </w:r>
      <w:r w:rsidRPr="00FE4D4A">
        <w:rPr>
          <w:rFonts w:ascii="Atkinson Hyperlegible" w:eastAsia="Atkinson Hyperlegible" w:hAnsi="Atkinson Hyperlegible" w:cs="Atkinson Hyperlegible"/>
          <w:b/>
          <w:bCs/>
          <w:color w:val="000000" w:themeColor="text1"/>
        </w:rPr>
        <w:t>DALLA FONDAZIONE</w:t>
      </w:r>
    </w:p>
    <w:p w14:paraId="6FE644FD" w14:textId="7BDB6324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Fondazione nata il 21 marzo 2005, il CCR - Centro Conservazione Restauro La Venaria</w:t>
      </w:r>
    </w:p>
    <w:p w14:paraId="6FF1987E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Reale è uno dei principali poli del restauro in Italia, dotato di un’importante rete di attività di</w:t>
      </w:r>
    </w:p>
    <w:p w14:paraId="2273F9E9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cooperazione e collaborazioni internazionali. Caratterizzato da un operato che si muove</w:t>
      </w:r>
    </w:p>
    <w:p w14:paraId="564714EB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lungo le quattro macro-direttrici della conservazione e restauro, della scienza, della</w:t>
      </w:r>
    </w:p>
    <w:p w14:paraId="7FFA5AD3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formazione e della documentazione, ha al suo interno nove Laboratori di Restauro, i</w:t>
      </w:r>
    </w:p>
    <w:p w14:paraId="427B6097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Laboratori Scientifici e la Scuola di Alta Formazione con un Corso di Laurea Magistrale in</w:t>
      </w:r>
    </w:p>
    <w:p w14:paraId="12355826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Conservazione e Restauro dei Beni Culturali dell’Università di Torino. Il CCR ha sede nelle</w:t>
      </w:r>
    </w:p>
    <w:p w14:paraId="238374BC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settecentesche Scuderie della Reggia di Venaria progettate da Benedetto Alfieri e</w:t>
      </w:r>
    </w:p>
    <w:p w14:paraId="05221C5A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riprogettate secondo una concezione contemporanea dallo Studio Derossi (1998-2004) in</w:t>
      </w:r>
    </w:p>
    <w:p w14:paraId="08A66A30" w14:textId="77777777" w:rsidR="00E051D6" w:rsidRPr="00FE4D4A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000000" w:themeColor="text1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>un interessante dialogo tra antico e moderno. L’intero complesso monumentale è</w:t>
      </w:r>
    </w:p>
    <w:p w14:paraId="265579AE" w14:textId="0B999184" w:rsidR="00E051D6" w:rsidRPr="000D4D20" w:rsidRDefault="00E051D6" w:rsidP="00E051D6">
      <w:pPr>
        <w:spacing w:after="0"/>
        <w:ind w:right="-143"/>
        <w:jc w:val="both"/>
        <w:rPr>
          <w:rFonts w:ascii="Atkinson Hyperlegible" w:eastAsia="Atkinson Hyperlegible" w:hAnsi="Atkinson Hyperlegible" w:cs="Atkinson Hyperlegible"/>
          <w:color w:val="262626"/>
        </w:rPr>
      </w:pPr>
      <w:r w:rsidRPr="00FE4D4A">
        <w:rPr>
          <w:rFonts w:ascii="Atkinson Hyperlegible" w:eastAsia="Atkinson Hyperlegible" w:hAnsi="Atkinson Hyperlegible" w:cs="Atkinson Hyperlegible"/>
          <w:color w:val="000000" w:themeColor="text1"/>
        </w:rPr>
        <w:t xml:space="preserve">patrimonio UNESCO. </w:t>
      </w:r>
      <w:bookmarkEnd w:id="0"/>
      <w:r w:rsidR="00FE4D4A">
        <w:fldChar w:fldCharType="begin"/>
      </w:r>
      <w:r w:rsidR="00FE4D4A">
        <w:instrText xml:space="preserve"> HYPERLINK "http://www.centrorestaurovenaria.it" </w:instrText>
      </w:r>
      <w:r w:rsidR="00FE4D4A">
        <w:fldChar w:fldCharType="separate"/>
      </w:r>
      <w:r w:rsidR="00F274DB" w:rsidRPr="000E2F80">
        <w:rPr>
          <w:rStyle w:val="Collegamentoipertestuale"/>
          <w:rFonts w:ascii="Atkinson Hyperlegible" w:eastAsia="Atkinson Hyperlegible" w:hAnsi="Atkinson Hyperlegible" w:cs="Atkinson Hyperlegible"/>
        </w:rPr>
        <w:t>www.centrorestaurovenaria.it</w:t>
      </w:r>
      <w:r w:rsidR="00FE4D4A">
        <w:rPr>
          <w:rStyle w:val="Collegamentoipertestuale"/>
          <w:rFonts w:ascii="Atkinson Hyperlegible" w:eastAsia="Atkinson Hyperlegible" w:hAnsi="Atkinson Hyperlegible" w:cs="Atkinson Hyperlegible"/>
        </w:rPr>
        <w:fldChar w:fldCharType="end"/>
      </w:r>
      <w:r w:rsidR="00F274DB">
        <w:rPr>
          <w:rFonts w:ascii="Atkinson Hyperlegible" w:eastAsia="Atkinson Hyperlegible" w:hAnsi="Atkinson Hyperlegible" w:cs="Atkinson Hyperlegible"/>
          <w:color w:val="262626"/>
        </w:rPr>
        <w:t xml:space="preserve"> </w:t>
      </w:r>
    </w:p>
    <w:sectPr w:rsidR="00E051D6" w:rsidRPr="000D4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2" w:left="1134" w:header="566" w:footer="2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B7FA7" w14:textId="77777777" w:rsidR="00062D58" w:rsidRDefault="00062D58">
      <w:pPr>
        <w:spacing w:after="0" w:line="240" w:lineRule="auto"/>
      </w:pPr>
      <w:r>
        <w:separator/>
      </w:r>
    </w:p>
  </w:endnote>
  <w:endnote w:type="continuationSeparator" w:id="0">
    <w:p w14:paraId="30D38A20" w14:textId="77777777" w:rsidR="00062D58" w:rsidRDefault="00062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tkinson Hyperlegible">
    <w:altName w:val="Cambria"/>
    <w:charset w:val="00"/>
    <w:family w:val="auto"/>
    <w:pitch w:val="variable"/>
    <w:sig w:usb0="800000EF" w:usb1="0000204B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35FC3" w14:textId="77777777" w:rsidR="00602245" w:rsidRDefault="003B75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91D8D37" w14:textId="77777777" w:rsidR="00602245" w:rsidRDefault="0060224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B116" w14:textId="77777777" w:rsidR="00602245" w:rsidRDefault="0060224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-907" w:right="-851"/>
      <w:jc w:val="center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2D25E" w14:textId="77777777" w:rsidR="00602245" w:rsidRDefault="003B75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4F46C470" wp14:editId="68EACE22">
          <wp:simplePos x="0" y="0"/>
          <wp:positionH relativeFrom="column">
            <wp:posOffset>-178738</wp:posOffset>
          </wp:positionH>
          <wp:positionV relativeFrom="paragraph">
            <wp:posOffset>-601235</wp:posOffset>
          </wp:positionV>
          <wp:extent cx="6443980" cy="899368"/>
          <wp:effectExtent l="0" t="0" r="0" b="0"/>
          <wp:wrapNone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t="24094"/>
                  <a:stretch>
                    <a:fillRect/>
                  </a:stretch>
                </pic:blipFill>
                <pic:spPr>
                  <a:xfrm>
                    <a:off x="0" y="0"/>
                    <a:ext cx="6443980" cy="89936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440EE" w14:textId="77777777" w:rsidR="00062D58" w:rsidRDefault="00062D58">
      <w:pPr>
        <w:spacing w:after="0" w:line="240" w:lineRule="auto"/>
      </w:pPr>
      <w:r>
        <w:separator/>
      </w:r>
    </w:p>
  </w:footnote>
  <w:footnote w:type="continuationSeparator" w:id="0">
    <w:p w14:paraId="071BCCDC" w14:textId="77777777" w:rsidR="00062D58" w:rsidRDefault="00062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AA98" w14:textId="77777777" w:rsidR="00602245" w:rsidRDefault="0060224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435C1" w14:textId="77777777" w:rsidR="00602245" w:rsidRDefault="003B756E">
    <w:pP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42854F40" wp14:editId="0F3E2E95">
          <wp:extent cx="2137255" cy="798446"/>
          <wp:effectExtent l="0" t="0" r="0" b="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6439"/>
                  <a:stretch>
                    <a:fillRect/>
                  </a:stretch>
                </pic:blipFill>
                <pic:spPr>
                  <a:xfrm>
                    <a:off x="0" y="0"/>
                    <a:ext cx="2137255" cy="79844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BC6AA" w14:textId="77777777" w:rsidR="00602245" w:rsidRDefault="003B75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F8DC5EC" wp14:editId="5CEEC6A0">
          <wp:extent cx="2317391" cy="842838"/>
          <wp:effectExtent l="0" t="0" r="6985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6439"/>
                  <a:stretch>
                    <a:fillRect/>
                  </a:stretch>
                </pic:blipFill>
                <pic:spPr>
                  <a:xfrm>
                    <a:off x="0" y="0"/>
                    <a:ext cx="2328026" cy="84670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D63E8"/>
    <w:multiLevelType w:val="multilevel"/>
    <w:tmpl w:val="FDB6E6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071021"/>
    <w:multiLevelType w:val="multilevel"/>
    <w:tmpl w:val="D90AF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−"/>
      <w:lvlJc w:val="left"/>
      <w:pPr>
        <w:ind w:left="1224" w:hanging="504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−.%4."/>
      <w:lvlJc w:val="left"/>
      <w:pPr>
        <w:ind w:left="1728" w:hanging="647"/>
      </w:pPr>
    </w:lvl>
    <w:lvl w:ilvl="4">
      <w:start w:val="1"/>
      <w:numFmt w:val="decimal"/>
      <w:lvlText w:val="%1.%2.−.%4.%5."/>
      <w:lvlJc w:val="left"/>
      <w:pPr>
        <w:ind w:left="2232" w:hanging="792"/>
      </w:pPr>
    </w:lvl>
    <w:lvl w:ilvl="5">
      <w:start w:val="1"/>
      <w:numFmt w:val="decimal"/>
      <w:lvlText w:val="%1.%2.−.%4.%5.%6."/>
      <w:lvlJc w:val="left"/>
      <w:pPr>
        <w:ind w:left="2736" w:hanging="935"/>
      </w:pPr>
    </w:lvl>
    <w:lvl w:ilvl="6">
      <w:start w:val="1"/>
      <w:numFmt w:val="decimal"/>
      <w:lvlText w:val="%1.%2.−.%4.%5.%6.%7."/>
      <w:lvlJc w:val="left"/>
      <w:pPr>
        <w:ind w:left="3240" w:hanging="1080"/>
      </w:pPr>
    </w:lvl>
    <w:lvl w:ilvl="7">
      <w:start w:val="1"/>
      <w:numFmt w:val="decimal"/>
      <w:lvlText w:val="%1.%2.−.%4.%5.%6.%7.%8."/>
      <w:lvlJc w:val="left"/>
      <w:pPr>
        <w:ind w:left="3744" w:hanging="1224"/>
      </w:pPr>
    </w:lvl>
    <w:lvl w:ilvl="8">
      <w:start w:val="1"/>
      <w:numFmt w:val="decimal"/>
      <w:lvlText w:val="%1.%2.−.%4.%5.%6.%7.%8.%9."/>
      <w:lvlJc w:val="left"/>
      <w:pPr>
        <w:ind w:left="4320" w:hanging="1440"/>
      </w:pPr>
    </w:lvl>
  </w:abstractNum>
  <w:abstractNum w:abstractNumId="2" w15:restartNumberingAfterBreak="0">
    <w:nsid w:val="2C3946A4"/>
    <w:multiLevelType w:val="multilevel"/>
    <w:tmpl w:val="88CC7B1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7"/>
      </w:pPr>
    </w:lvl>
    <w:lvl w:ilvl="4">
      <w:start w:val="1"/>
      <w:numFmt w:val="decimal"/>
      <w:lvlText w:val="%1.%2.%3.%4.%5."/>
      <w:lvlJc w:val="left"/>
      <w:pPr>
        <w:ind w:left="2658" w:hanging="791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3" w15:restartNumberingAfterBreak="0">
    <w:nsid w:val="5351207C"/>
    <w:multiLevelType w:val="multilevel"/>
    <w:tmpl w:val="F84291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245"/>
    <w:rsid w:val="00044623"/>
    <w:rsid w:val="00062D58"/>
    <w:rsid w:val="000A7F72"/>
    <w:rsid w:val="000D3AB1"/>
    <w:rsid w:val="000D4D20"/>
    <w:rsid w:val="00116468"/>
    <w:rsid w:val="001A5326"/>
    <w:rsid w:val="001C6B05"/>
    <w:rsid w:val="002B1DD0"/>
    <w:rsid w:val="002C598D"/>
    <w:rsid w:val="003B756E"/>
    <w:rsid w:val="00441F79"/>
    <w:rsid w:val="005430AB"/>
    <w:rsid w:val="00602245"/>
    <w:rsid w:val="006806A0"/>
    <w:rsid w:val="006A2B2B"/>
    <w:rsid w:val="007519B6"/>
    <w:rsid w:val="00812D74"/>
    <w:rsid w:val="00830423"/>
    <w:rsid w:val="0083527B"/>
    <w:rsid w:val="00924F39"/>
    <w:rsid w:val="00931FC6"/>
    <w:rsid w:val="00943400"/>
    <w:rsid w:val="00995621"/>
    <w:rsid w:val="00A368D3"/>
    <w:rsid w:val="00B212EF"/>
    <w:rsid w:val="00B32D95"/>
    <w:rsid w:val="00B856D3"/>
    <w:rsid w:val="00BC4311"/>
    <w:rsid w:val="00D24530"/>
    <w:rsid w:val="00DE57B5"/>
    <w:rsid w:val="00E051D6"/>
    <w:rsid w:val="00E74BAE"/>
    <w:rsid w:val="00EA7939"/>
    <w:rsid w:val="00F010D7"/>
    <w:rsid w:val="00F274DB"/>
    <w:rsid w:val="00FE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3541F"/>
  <w15:docId w15:val="{06DBC0A7-2225-47A1-9104-020A7DABF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basedOn w:val="Carpredefinitoparagrafo"/>
    <w:uiPriority w:val="99"/>
    <w:unhideWhenUsed/>
    <w:rsid w:val="00F274D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7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Avataneo</dc:creator>
  <cp:keywords/>
  <dc:description/>
  <cp:lastModifiedBy>Maria D'amuri</cp:lastModifiedBy>
  <cp:revision>9</cp:revision>
  <cp:lastPrinted>2025-12-11T09:08:00Z</cp:lastPrinted>
  <dcterms:created xsi:type="dcterms:W3CDTF">2025-12-10T13:57:00Z</dcterms:created>
  <dcterms:modified xsi:type="dcterms:W3CDTF">2025-12-11T09:56:00Z</dcterms:modified>
</cp:coreProperties>
</file>